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8B3C5" w14:textId="5C0DBCA8" w:rsidR="007E0C02" w:rsidRDefault="007E0C02" w:rsidP="00460BEC">
      <w:pPr>
        <w:spacing w:after="144" w:line="288" w:lineRule="auto"/>
        <w:jc w:val="center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3E363A" w:rsidRPr="007E0C02" w14:paraId="08BCFEED" w14:textId="77777777" w:rsidTr="00703809">
        <w:trPr>
          <w:trHeight w:val="712"/>
        </w:trPr>
        <w:tc>
          <w:tcPr>
            <w:tcW w:w="5000" w:type="pct"/>
            <w:shd w:val="clear" w:color="auto" w:fill="155C6F"/>
            <w:vAlign w:val="center"/>
          </w:tcPr>
          <w:p w14:paraId="37BA7F93" w14:textId="0485C4E2" w:rsidR="003E363A" w:rsidRPr="007E0C02" w:rsidRDefault="003E363A" w:rsidP="00F15128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18"/>
                <w:szCs w:val="18"/>
              </w:rPr>
            </w:pPr>
            <w:bookmarkStart w:id="0" w:name="_Toc9501511"/>
            <w:r w:rsidRPr="007E0C02">
              <w:rPr>
                <w:rFonts w:ascii="Century Gothic" w:hAnsi="Century Gothic" w:cs="Arial"/>
                <w:color w:val="FFFFFF" w:themeColor="background1"/>
              </w:rPr>
              <w:t xml:space="preserve">Fiche de Gestion – </w:t>
            </w:r>
            <w:bookmarkEnd w:id="0"/>
            <w:r w:rsidRPr="007E0C02">
              <w:rPr>
                <w:rFonts w:ascii="Century Gothic" w:hAnsi="Century Gothic" w:cs="Arial"/>
                <w:color w:val="FFFFFF" w:themeColor="background1"/>
                <w:sz w:val="24"/>
              </w:rPr>
              <w:t>Lot n°</w:t>
            </w:r>
            <w:r w:rsidR="00017519">
              <w:rPr>
                <w:rFonts w:ascii="Century Gothic" w:hAnsi="Century Gothic" w:cs="Arial"/>
                <w:color w:val="FFFFFF" w:themeColor="background1"/>
                <w:sz w:val="24"/>
              </w:rPr>
              <w:t>6</w:t>
            </w:r>
            <w:r>
              <w:rPr>
                <w:rFonts w:ascii="Century Gothic" w:hAnsi="Century Gothic" w:cs="Arial"/>
                <w:color w:val="FFFFFF" w:themeColor="background1"/>
                <w:sz w:val="24"/>
              </w:rPr>
              <w:t> :</w:t>
            </w:r>
            <w:r w:rsidRPr="007E0C02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</w:t>
            </w:r>
            <w:r w:rsidR="00017519">
              <w:rPr>
                <w:rFonts w:ascii="Century Gothic" w:hAnsi="Century Gothic" w:cs="Arial"/>
                <w:color w:val="FFFFFF" w:themeColor="background1"/>
                <w:sz w:val="24"/>
              </w:rPr>
              <w:t>R</w:t>
            </w:r>
            <w:r w:rsidR="00F15128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esponsabilité du promoteur de recherche </w:t>
            </w:r>
            <w:r w:rsidR="00F15128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="00F15128"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 xml:space="preserve">page 1 sur </w:t>
            </w:r>
            <w:r w:rsidR="00F15128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1</w:t>
            </w:r>
          </w:p>
        </w:tc>
      </w:tr>
    </w:tbl>
    <w:p w14:paraId="4C403DEC" w14:textId="77777777" w:rsidR="00CF1165" w:rsidRDefault="00CF1165" w:rsidP="00CF1165">
      <w:pPr>
        <w:spacing w:after="120"/>
        <w:jc w:val="center"/>
        <w:rPr>
          <w:rFonts w:ascii="Century Gothic" w:hAnsi="Century Gothic" w:cs="Arial"/>
          <w:b/>
          <w:bCs/>
          <w:sz w:val="18"/>
          <w:szCs w:val="18"/>
        </w:rPr>
      </w:pPr>
    </w:p>
    <w:p w14:paraId="6EE7AD88" w14:textId="65DF8D65" w:rsidR="003E363A" w:rsidRPr="00CF1165" w:rsidRDefault="00CF1165" w:rsidP="00CF1165">
      <w:pPr>
        <w:spacing w:after="120"/>
        <w:jc w:val="center"/>
        <w:rPr>
          <w:rFonts w:ascii="Century Gothic" w:hAnsi="Century Gothic" w:cs="Arial"/>
          <w:b/>
          <w:bCs/>
          <w:sz w:val="18"/>
          <w:szCs w:val="18"/>
        </w:rPr>
      </w:pPr>
      <w:r w:rsidRPr="00771200">
        <w:rPr>
          <w:rFonts w:ascii="Century Gothic" w:hAnsi="Century Gothic" w:cs="Arial"/>
          <w:b/>
          <w:bCs/>
          <w:sz w:val="18"/>
          <w:szCs w:val="18"/>
        </w:rPr>
        <w:t>Les engagements en matière de gestion sont pris par le candidat ou son mandataire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38"/>
        <w:gridCol w:w="2104"/>
        <w:gridCol w:w="1161"/>
        <w:gridCol w:w="1253"/>
      </w:tblGrid>
      <w:tr w:rsidR="00017519" w:rsidRPr="00771200" w14:paraId="555FADD4" w14:textId="77777777" w:rsidTr="00703809">
        <w:trPr>
          <w:trHeight w:val="299"/>
          <w:jc w:val="center"/>
        </w:trPr>
        <w:tc>
          <w:tcPr>
            <w:tcW w:w="2840" w:type="pct"/>
            <w:vMerge w:val="restart"/>
            <w:shd w:val="clear" w:color="auto" w:fill="155C6F"/>
            <w:vAlign w:val="center"/>
          </w:tcPr>
          <w:p w14:paraId="4021515C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ENGAGEMENTS EN MATIERE DE GESTION</w:t>
            </w:r>
          </w:p>
        </w:tc>
        <w:tc>
          <w:tcPr>
            <w:tcW w:w="1006" w:type="pct"/>
            <w:vMerge w:val="restart"/>
            <w:shd w:val="clear" w:color="auto" w:fill="155C6F"/>
            <w:vAlign w:val="center"/>
          </w:tcPr>
          <w:p w14:paraId="593B138E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color w:val="FFFFFF"/>
                <w:sz w:val="18"/>
                <w:szCs w:val="18"/>
              </w:rPr>
              <w:t>Réponse</w:t>
            </w:r>
          </w:p>
        </w:tc>
        <w:tc>
          <w:tcPr>
            <w:tcW w:w="1154" w:type="pct"/>
            <w:gridSpan w:val="2"/>
            <w:shd w:val="clear" w:color="auto" w:fill="155C6F"/>
            <w:vAlign w:val="center"/>
          </w:tcPr>
          <w:p w14:paraId="4A6A2652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color w:val="FFFFFF"/>
                <w:sz w:val="18"/>
                <w:szCs w:val="18"/>
              </w:rPr>
              <w:t>Qui assume l’engagement ?</w:t>
            </w:r>
          </w:p>
          <w:p w14:paraId="654CFBAB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color w:val="FFFFFF"/>
                <w:sz w:val="18"/>
                <w:szCs w:val="18"/>
              </w:rPr>
              <w:t>Cocher la case</w:t>
            </w:r>
          </w:p>
        </w:tc>
      </w:tr>
      <w:tr w:rsidR="00017519" w:rsidRPr="00771200" w14:paraId="562B05AA" w14:textId="77777777" w:rsidTr="00703809">
        <w:trPr>
          <w:trHeight w:val="449"/>
          <w:jc w:val="center"/>
        </w:trPr>
        <w:tc>
          <w:tcPr>
            <w:tcW w:w="2840" w:type="pct"/>
            <w:vMerge/>
            <w:shd w:val="clear" w:color="auto" w:fill="0E3D4A" w:themeFill="text2" w:themeFillShade="80"/>
            <w:vAlign w:val="center"/>
          </w:tcPr>
          <w:p w14:paraId="529C8EA2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0E3D4A" w:themeFill="text2" w:themeFillShade="80"/>
            <w:vAlign w:val="center"/>
          </w:tcPr>
          <w:p w14:paraId="5B18B6EA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</w:p>
        </w:tc>
        <w:tc>
          <w:tcPr>
            <w:tcW w:w="555" w:type="pct"/>
            <w:shd w:val="clear" w:color="auto" w:fill="A6C5C7"/>
            <w:vAlign w:val="center"/>
          </w:tcPr>
          <w:p w14:paraId="5E2E1595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color w:val="FFFFFF"/>
                <w:sz w:val="18"/>
                <w:szCs w:val="18"/>
              </w:rPr>
              <w:t>Candidat</w:t>
            </w:r>
          </w:p>
        </w:tc>
        <w:tc>
          <w:tcPr>
            <w:tcW w:w="599" w:type="pct"/>
            <w:shd w:val="clear" w:color="auto" w:fill="A6C5C7"/>
            <w:vAlign w:val="center"/>
          </w:tcPr>
          <w:p w14:paraId="28FEE885" w14:textId="77777777" w:rsidR="00017519" w:rsidRPr="00771200" w:rsidRDefault="0001751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color w:val="FFFFFF"/>
                <w:sz w:val="18"/>
                <w:szCs w:val="18"/>
              </w:rPr>
              <w:t>Mandataire</w:t>
            </w:r>
          </w:p>
        </w:tc>
      </w:tr>
      <w:tr w:rsidR="00017519" w:rsidRPr="00771200" w14:paraId="4FE7DB96" w14:textId="77777777" w:rsidTr="00017519">
        <w:trPr>
          <w:trHeight w:val="515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</w:tcPr>
          <w:p w14:paraId="4B85324F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FOURNITURE DE DONNEES STATISTIQUES</w:t>
            </w:r>
          </w:p>
        </w:tc>
      </w:tr>
      <w:tr w:rsidR="00017519" w:rsidRPr="00771200" w14:paraId="24E24774" w14:textId="77777777" w:rsidTr="00017519">
        <w:trPr>
          <w:trHeight w:val="970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0CDFEFFF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Le souscripteur souhaite disposer d’un état de sinistralité détaillé reprenant les circonstances de chaque sinistre et l’état des dossiers provisionnés :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0606CFB3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1533071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111156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E5AB322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08970688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6E4125A6" w14:textId="77777777" w:rsidTr="00017519">
        <w:trPr>
          <w:trHeight w:val="505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</w:tcPr>
          <w:p w14:paraId="17DC01E3" w14:textId="77777777" w:rsidR="00017519" w:rsidRPr="00AE223C" w:rsidRDefault="00017519" w:rsidP="00017519">
            <w:pPr>
              <w:spacing w:after="0" w:line="276" w:lineRule="auto"/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</w:pPr>
            <w:r w:rsidRPr="00AE223C"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GESTION DU CONTRAT</w:t>
            </w:r>
          </w:p>
        </w:tc>
      </w:tr>
      <w:tr w:rsidR="00017519" w:rsidRPr="00771200" w14:paraId="3C2BEC75" w14:textId="77777777" w:rsidTr="00017519">
        <w:trPr>
          <w:trHeight w:val="825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544E3662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Fourniture de l’attestation d’assurance sous quinze jours à compter de la réception du formulaire d’intégration dans l’accord cadre d’un nouveau protocole de recherche 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578928CA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147888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-105423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3EEA965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35E563A1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506512DA" w14:textId="77777777" w:rsidTr="00017519">
        <w:trPr>
          <w:trHeight w:val="599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7C1B1D97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Réponse aux questions sur les garanties sous 72h ouvrées 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374B28EF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109945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-198115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596E350F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73F6714A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29334043" w14:textId="77777777" w:rsidTr="00017519">
        <w:trPr>
          <w:trHeight w:val="599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50910F7C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Un déplacement annuel est-il intégré dans la prestation 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680BDD2A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111225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-323659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A307B49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20F66FFF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445E510D" w14:textId="77777777" w:rsidTr="00017519">
        <w:trPr>
          <w:trHeight w:val="524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</w:tcPr>
          <w:p w14:paraId="2E350DC7" w14:textId="77777777" w:rsidR="00017519" w:rsidRPr="00AE223C" w:rsidRDefault="00017519" w:rsidP="00017519">
            <w:pPr>
              <w:spacing w:after="0" w:line="276" w:lineRule="auto"/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</w:pPr>
            <w:r w:rsidRPr="00AE223C"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GESTION DES SINISTRES</w:t>
            </w:r>
          </w:p>
        </w:tc>
      </w:tr>
      <w:tr w:rsidR="00017519" w:rsidRPr="00771200" w14:paraId="7D58EC71" w14:textId="77777777" w:rsidTr="00017519">
        <w:trPr>
          <w:trHeight w:val="724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71583DAE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Réponses aux questions concernant l’avancement des sinistres en cours sous 72h ouvrées 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614333DF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-1303927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1834569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6A29CEFF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60F6F66F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23712B77" w14:textId="77777777" w:rsidTr="00017519">
        <w:trPr>
          <w:trHeight w:val="765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5773AF60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Désignation d’un expert sous 72h ouvrées </w:t>
            </w:r>
            <w:r w:rsidRPr="00771200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maximum</w:t>
            </w:r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 à compter de la réception de la déclaration de sinistre 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0C1BC753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-134616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-658001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0BA7FA4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2DBF6ACE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3CB39169" w14:textId="77777777" w:rsidTr="00017519">
        <w:trPr>
          <w:trHeight w:val="870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479D4AC6" w14:textId="77777777" w:rsidR="00017519" w:rsidRPr="00771200" w:rsidRDefault="00017519" w:rsidP="00017519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Envoi systématique d’un accusé de réception </w:t>
            </w:r>
            <w:proofErr w:type="gramStart"/>
            <w:r w:rsidRPr="00771200">
              <w:rPr>
                <w:rFonts w:ascii="Century Gothic" w:hAnsi="Century Gothic" w:cs="Arial"/>
                <w:sz w:val="18"/>
                <w:szCs w:val="18"/>
              </w:rPr>
              <w:t>suite à</w:t>
            </w:r>
            <w:proofErr w:type="gramEnd"/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 sinistre ?</w:t>
            </w:r>
          </w:p>
          <w:p w14:paraId="784A5FE6" w14:textId="77777777" w:rsidR="00017519" w:rsidRPr="00771200" w:rsidRDefault="00017519" w:rsidP="00017519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Cet accusé est-il adressé sous 72 heures 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584DEFD1" w14:textId="77777777" w:rsidR="00017519" w:rsidRPr="00771200" w:rsidRDefault="00703809" w:rsidP="00017519">
            <w:pPr>
              <w:pStyle w:val="Sansinterligne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0"/>
                </w:rPr>
                <w:id w:val="227434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  <w:sz w:val="20"/>
                <w:szCs w:val="20"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  <w:sz w:val="20"/>
                <w:szCs w:val="20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0"/>
                </w:rPr>
                <w:id w:val="-205554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  <w:sz w:val="20"/>
                <w:szCs w:val="20"/>
              </w:rPr>
              <w:t xml:space="preserve"> NON</w:t>
            </w:r>
          </w:p>
          <w:p w14:paraId="40F6091B" w14:textId="77777777" w:rsidR="00017519" w:rsidRPr="00771200" w:rsidRDefault="00703809" w:rsidP="00017519">
            <w:pPr>
              <w:pStyle w:val="Sansinterligne"/>
              <w:jc w:val="center"/>
              <w:rPr>
                <w:rFonts w:ascii="Century Gothic" w:hAnsi="Century Gothic" w:cs="Arial"/>
                <w:color w:val="FFFFFF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0"/>
                </w:rPr>
                <w:id w:val="64400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  <w:sz w:val="20"/>
                <w:szCs w:val="20"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  <w:sz w:val="20"/>
                <w:szCs w:val="20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0"/>
                </w:rPr>
                <w:id w:val="85662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  <w:sz w:val="20"/>
                <w:szCs w:val="20"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39C82507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4E415DAD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1C88D18D" w14:textId="77777777" w:rsidTr="00017519">
        <w:trPr>
          <w:trHeight w:val="517"/>
          <w:jc w:val="center"/>
        </w:trPr>
        <w:tc>
          <w:tcPr>
            <w:tcW w:w="5000" w:type="pct"/>
            <w:gridSpan w:val="4"/>
            <w:shd w:val="clear" w:color="auto" w:fill="A6C5C7"/>
            <w:vAlign w:val="center"/>
          </w:tcPr>
          <w:p w14:paraId="4FDE41A2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color w:val="FFFFFF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color w:val="FFFFFF"/>
                <w:sz w:val="18"/>
                <w:szCs w:val="18"/>
              </w:rPr>
              <w:t>MOYENS MIS A DISPOSITION</w:t>
            </w:r>
          </w:p>
        </w:tc>
      </w:tr>
      <w:tr w:rsidR="00017519" w:rsidRPr="00771200" w14:paraId="046AD014" w14:textId="77777777" w:rsidTr="00017519">
        <w:trPr>
          <w:trHeight w:val="599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47DBBEB3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Mise à disposition d’un interlocuteur privilégié pour la gestion du contrat 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542FC6DF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-160202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96732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7ED3DCA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736853FC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1FA8156F" w14:textId="77777777" w:rsidTr="00017519">
        <w:trPr>
          <w:trHeight w:val="599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10BD478A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Mise à disposition d’un interlocuteur privilégié pour la gestion des sinistres ?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486E3C6B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1052584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-1308853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810B30E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43B2064A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17519" w:rsidRPr="00771200" w14:paraId="20444550" w14:textId="77777777" w:rsidTr="00017519">
        <w:trPr>
          <w:trHeight w:val="652"/>
          <w:jc w:val="center"/>
        </w:trPr>
        <w:tc>
          <w:tcPr>
            <w:tcW w:w="2840" w:type="pct"/>
            <w:shd w:val="clear" w:color="auto" w:fill="auto"/>
            <w:vAlign w:val="center"/>
          </w:tcPr>
          <w:p w14:paraId="0E4B00EB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Des outils de suivi et de gestion des sinistres par internet sont-ils mis à disposition ? </w:t>
            </w:r>
          </w:p>
          <w:p w14:paraId="6E6EF6AF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(</w:t>
            </w:r>
            <w:proofErr w:type="gramStart"/>
            <w:r w:rsidRPr="00771200">
              <w:rPr>
                <w:rFonts w:ascii="Century Gothic" w:hAnsi="Century Gothic" w:cs="Arial"/>
                <w:sz w:val="18"/>
                <w:szCs w:val="18"/>
              </w:rPr>
              <w:t>le</w:t>
            </w:r>
            <w:proofErr w:type="gramEnd"/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 cas échéant, renseigner le questionnaire spécifique ci-après)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31FA8412" w14:textId="77777777" w:rsidR="00017519" w:rsidRPr="00771200" w:rsidRDefault="00703809" w:rsidP="00017519">
            <w:pPr>
              <w:spacing w:after="0" w:line="276" w:lineRule="auto"/>
              <w:jc w:val="center"/>
              <w:rPr>
                <w:rFonts w:ascii="Century Gothic" w:hAnsi="Century Gothic" w:cs="Arial"/>
              </w:rPr>
            </w:pPr>
            <w:sdt>
              <w:sdtPr>
                <w:rPr>
                  <w:rFonts w:ascii="Century Gothic" w:hAnsi="Century Gothic" w:cs="Arial"/>
                  <w:b/>
                </w:rPr>
                <w:id w:val="-39011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OUI</w:t>
            </w:r>
            <w:r w:rsidR="00017519" w:rsidRPr="00771200">
              <w:rPr>
                <w:rFonts w:ascii="Century Gothic" w:hAnsi="Century Gothic" w:cs="Arial"/>
                <w:bCs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</w:rPr>
                <w:id w:val="200994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519" w:rsidRPr="00771200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17519" w:rsidRPr="00771200">
              <w:rPr>
                <w:rFonts w:ascii="Century Gothic" w:hAnsi="Century Gothic" w:cs="Arial"/>
                <w:b/>
              </w:rPr>
              <w:t xml:space="preserve"> NON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72A980FA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6BC5D9E0" w14:textId="77777777" w:rsidR="00017519" w:rsidRPr="00771200" w:rsidRDefault="00017519" w:rsidP="00017519">
            <w:pPr>
              <w:spacing w:after="0"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A7D02AC" w14:textId="78DC34C8" w:rsidR="00015326" w:rsidRPr="007E0C02" w:rsidRDefault="00015326" w:rsidP="00460BEC">
      <w:pPr>
        <w:spacing w:after="0" w:line="288" w:lineRule="auto"/>
        <w:jc w:val="both"/>
        <w:rPr>
          <w:rFonts w:ascii="Century Gothic" w:hAnsi="Century Gothic"/>
          <w:sz w:val="6"/>
          <w:szCs w:val="6"/>
        </w:rPr>
      </w:pPr>
    </w:p>
    <w:p w14:paraId="32E1D49E" w14:textId="77777777" w:rsidR="00015326" w:rsidRPr="007E0C02" w:rsidRDefault="00015326" w:rsidP="00460BEC">
      <w:pPr>
        <w:spacing w:after="0" w:line="288" w:lineRule="auto"/>
        <w:jc w:val="both"/>
        <w:rPr>
          <w:rFonts w:ascii="Century Gothic" w:hAnsi="Century Gothic" w:cs="Arial"/>
          <w:sz w:val="6"/>
          <w:szCs w:val="6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58"/>
        <w:gridCol w:w="5502"/>
      </w:tblGrid>
      <w:tr w:rsidR="00460BEC" w:rsidRPr="007E0C02" w14:paraId="31B33E60" w14:textId="77777777" w:rsidTr="00017519">
        <w:trPr>
          <w:trHeight w:val="1451"/>
          <w:jc w:val="center"/>
        </w:trPr>
        <w:tc>
          <w:tcPr>
            <w:tcW w:w="2370" w:type="pct"/>
            <w:shd w:val="clear" w:color="auto" w:fill="FFFFFF"/>
            <w:vAlign w:val="center"/>
          </w:tcPr>
          <w:p w14:paraId="0BC8C7A2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Fait à : </w:t>
            </w:r>
          </w:p>
          <w:p w14:paraId="401139F2" w14:textId="77777777" w:rsidR="00015326" w:rsidRPr="003E363A" w:rsidRDefault="00015326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36"/>
                <w:lang w:eastAsia="fr-FR"/>
              </w:rPr>
            </w:pPr>
          </w:p>
          <w:p w14:paraId="3B1EC182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Le :   </w:t>
            </w:r>
          </w:p>
          <w:p w14:paraId="69057B41" w14:textId="25F25F7C" w:rsidR="00015326" w:rsidRPr="007E0C02" w:rsidRDefault="00015326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</w:p>
        </w:tc>
        <w:tc>
          <w:tcPr>
            <w:tcW w:w="2630" w:type="pct"/>
            <w:shd w:val="clear" w:color="auto" w:fill="FFFFFF"/>
          </w:tcPr>
          <w:p w14:paraId="12566194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8"/>
                <w:szCs w:val="16"/>
                <w:lang w:eastAsia="fr-FR"/>
              </w:rPr>
            </w:pPr>
          </w:p>
          <w:p w14:paraId="16EA3300" w14:textId="77777777" w:rsidR="00460BEC" w:rsidRPr="007E0C02" w:rsidRDefault="00460BEC" w:rsidP="00C355C0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>Nom du candidat et cachet :</w:t>
            </w:r>
          </w:p>
        </w:tc>
      </w:tr>
    </w:tbl>
    <w:p w14:paraId="55A9FA5C" w14:textId="77777777" w:rsidR="00460BEC" w:rsidRPr="007E0C02" w:rsidRDefault="00460BEC" w:rsidP="00460BEC">
      <w:pPr>
        <w:rPr>
          <w:rFonts w:ascii="Century Gothic" w:hAnsi="Century Gothic"/>
        </w:rPr>
      </w:pPr>
    </w:p>
    <w:sectPr w:rsidR="00460BEC" w:rsidRPr="007E0C02" w:rsidSect="007E0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426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4E15" w14:textId="77777777" w:rsidR="006619E9" w:rsidRDefault="006619E9" w:rsidP="00415AE7">
      <w:pPr>
        <w:spacing w:after="0" w:line="240" w:lineRule="auto"/>
      </w:pPr>
      <w:r>
        <w:separator/>
      </w:r>
    </w:p>
  </w:endnote>
  <w:endnote w:type="continuationSeparator" w:id="0">
    <w:p w14:paraId="592FFC29" w14:textId="77777777" w:rsidR="006619E9" w:rsidRDefault="006619E9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38C5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AA79" w14:textId="20266E8F" w:rsidR="00E263B6" w:rsidRPr="007E0C02" w:rsidRDefault="003A11C4" w:rsidP="007E0C02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Fonts w:cs="Times New Roman"/>
        <w:color w:val="132C48" w:themeColor="accent3" w:themeShade="80"/>
        <w:sz w:val="16"/>
        <w:szCs w:val="16"/>
      </w:rPr>
    </w:pPr>
    <w:r w:rsidRPr="00B34987">
      <w:rPr>
        <w:rStyle w:val="Numrodepage"/>
        <w:color w:val="132C48" w:themeColor="accent3" w:themeShade="80"/>
        <w:sz w:val="16"/>
        <w:szCs w:val="16"/>
      </w:rPr>
      <w:t xml:space="preserve">Page 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begin"/>
    </w:r>
    <w:r w:rsidRPr="00B34987">
      <w:rPr>
        <w:rStyle w:val="Numrodepage"/>
        <w:color w:val="132C48" w:themeColor="accent3" w:themeShade="80"/>
        <w:sz w:val="16"/>
        <w:szCs w:val="16"/>
      </w:rPr>
      <w:instrText xml:space="preserve"> PAGE </w:instrText>
    </w:r>
    <w:r w:rsidRPr="00B34987">
      <w:rPr>
        <w:rStyle w:val="Numrodepage"/>
        <w:color w:val="132C48" w:themeColor="accent3" w:themeShade="80"/>
        <w:sz w:val="16"/>
        <w:szCs w:val="16"/>
      </w:rPr>
      <w:fldChar w:fldCharType="separate"/>
    </w:r>
    <w:r>
      <w:rPr>
        <w:rStyle w:val="Numrodepage"/>
        <w:color w:val="132C48" w:themeColor="accent3" w:themeShade="80"/>
        <w:sz w:val="16"/>
        <w:szCs w:val="16"/>
      </w:rPr>
      <w:t>1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end"/>
    </w:r>
    <w:r w:rsidRPr="00B34987">
      <w:rPr>
        <w:rStyle w:val="Numrodepage"/>
        <w:color w:val="132C48" w:themeColor="accent3" w:themeShade="80"/>
        <w:sz w:val="16"/>
        <w:szCs w:val="16"/>
      </w:rPr>
      <w:t xml:space="preserve"> sur 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begin"/>
    </w:r>
    <w:r w:rsidRPr="00B34987">
      <w:rPr>
        <w:rStyle w:val="Numrodepage"/>
        <w:color w:val="132C48" w:themeColor="accent3" w:themeShade="80"/>
        <w:sz w:val="16"/>
        <w:szCs w:val="16"/>
      </w:rPr>
      <w:instrText xml:space="preserve"> NUMPAGES </w:instrText>
    </w:r>
    <w:r w:rsidRPr="00B34987">
      <w:rPr>
        <w:rStyle w:val="Numrodepage"/>
        <w:color w:val="132C48" w:themeColor="accent3" w:themeShade="80"/>
        <w:sz w:val="16"/>
        <w:szCs w:val="16"/>
      </w:rPr>
      <w:fldChar w:fldCharType="separate"/>
    </w:r>
    <w:r>
      <w:rPr>
        <w:rStyle w:val="Numrodepage"/>
        <w:color w:val="132C48" w:themeColor="accent3" w:themeShade="80"/>
        <w:sz w:val="16"/>
        <w:szCs w:val="16"/>
      </w:rPr>
      <w:t>22</w:t>
    </w:r>
    <w:r w:rsidRPr="00B34987">
      <w:rPr>
        <w:rStyle w:val="Numrodepage"/>
        <w:color w:val="132C48" w:themeColor="accent3" w:themeShade="80"/>
        <w:sz w:val="16"/>
        <w:szCs w:val="16"/>
      </w:rPr>
      <w:fldChar w:fldCharType="end"/>
    </w:r>
    <w:bookmarkStart w:id="1" w:name="_Hlk31296931"/>
    <w:bookmarkStart w:id="2" w:name="_Hlk31296932"/>
    <w:r w:rsidRPr="00B34987">
      <w:rPr>
        <w:b/>
        <w:color w:val="132C48" w:themeColor="accent3" w:themeShade="80"/>
        <w:sz w:val="16"/>
        <w:szCs w:val="16"/>
      </w:rPr>
      <w:t xml:space="preserve"> 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B08B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31A1F" w14:textId="77777777" w:rsidR="006619E9" w:rsidRDefault="006619E9" w:rsidP="00415AE7">
      <w:pPr>
        <w:spacing w:after="0" w:line="240" w:lineRule="auto"/>
      </w:pPr>
      <w:r>
        <w:separator/>
      </w:r>
    </w:p>
  </w:footnote>
  <w:footnote w:type="continuationSeparator" w:id="0">
    <w:p w14:paraId="2F3F3BD7" w14:textId="77777777" w:rsidR="006619E9" w:rsidRDefault="006619E9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6DEC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FD006" w14:textId="21714B9D" w:rsidR="000C5CA3" w:rsidRPr="007E0C02" w:rsidRDefault="007E0C02" w:rsidP="007E0C02">
    <w:pPr>
      <w:rPr>
        <w:rFonts w:ascii="Century Gothic" w:eastAsia="Times New Roman" w:hAnsi="Century Gothic" w:cs="Arial"/>
        <w:lang w:eastAsia="fr-FR"/>
      </w:rPr>
    </w:pP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16314F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</w:t>
    </w:r>
    <w:r w:rsidR="0001751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GHT 72</w:t>
    </w:r>
    <w:r w:rsidR="0001751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01751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01751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B2A9" w14:textId="77777777" w:rsidR="00415AE7" w:rsidRDefault="00415A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03299"/>
    <w:multiLevelType w:val="hybridMultilevel"/>
    <w:tmpl w:val="C36800A6"/>
    <w:lvl w:ilvl="0" w:tplc="33F0F1DC">
      <w:start w:val="1"/>
      <w:numFmt w:val="bullet"/>
      <w:lvlText w:val="-"/>
      <w:lvlJc w:val="left"/>
      <w:pPr>
        <w:ind w:left="994" w:hanging="143"/>
      </w:pPr>
      <w:rPr>
        <w:rFonts w:ascii="Arial" w:eastAsia="Arial" w:hAnsi="Arial" w:hint="default"/>
        <w:color w:val="383838"/>
        <w:w w:val="105"/>
        <w:sz w:val="18"/>
        <w:szCs w:val="18"/>
      </w:rPr>
    </w:lvl>
    <w:lvl w:ilvl="1" w:tplc="4836BC96">
      <w:start w:val="1"/>
      <w:numFmt w:val="bullet"/>
      <w:lvlText w:val="•"/>
      <w:lvlJc w:val="left"/>
      <w:pPr>
        <w:ind w:left="1322" w:hanging="143"/>
      </w:pPr>
      <w:rPr>
        <w:rFonts w:hint="default"/>
      </w:rPr>
    </w:lvl>
    <w:lvl w:ilvl="2" w:tplc="35345BC2">
      <w:start w:val="1"/>
      <w:numFmt w:val="bullet"/>
      <w:lvlText w:val="•"/>
      <w:lvlJc w:val="left"/>
      <w:pPr>
        <w:ind w:left="1750" w:hanging="143"/>
      </w:pPr>
      <w:rPr>
        <w:rFonts w:hint="default"/>
      </w:rPr>
    </w:lvl>
    <w:lvl w:ilvl="3" w:tplc="854EAAA0">
      <w:start w:val="1"/>
      <w:numFmt w:val="bullet"/>
      <w:lvlText w:val="•"/>
      <w:lvlJc w:val="left"/>
      <w:pPr>
        <w:ind w:left="2179" w:hanging="143"/>
      </w:pPr>
      <w:rPr>
        <w:rFonts w:hint="default"/>
      </w:rPr>
    </w:lvl>
    <w:lvl w:ilvl="4" w:tplc="70804A18">
      <w:start w:val="1"/>
      <w:numFmt w:val="bullet"/>
      <w:lvlText w:val="•"/>
      <w:lvlJc w:val="left"/>
      <w:pPr>
        <w:ind w:left="2607" w:hanging="143"/>
      </w:pPr>
      <w:rPr>
        <w:rFonts w:hint="default"/>
      </w:rPr>
    </w:lvl>
    <w:lvl w:ilvl="5" w:tplc="EC0E62AC">
      <w:start w:val="1"/>
      <w:numFmt w:val="bullet"/>
      <w:lvlText w:val="•"/>
      <w:lvlJc w:val="left"/>
      <w:pPr>
        <w:ind w:left="3035" w:hanging="143"/>
      </w:pPr>
      <w:rPr>
        <w:rFonts w:hint="default"/>
      </w:rPr>
    </w:lvl>
    <w:lvl w:ilvl="6" w:tplc="BEBA8FDC">
      <w:start w:val="1"/>
      <w:numFmt w:val="bullet"/>
      <w:lvlText w:val="•"/>
      <w:lvlJc w:val="left"/>
      <w:pPr>
        <w:ind w:left="3463" w:hanging="143"/>
      </w:pPr>
      <w:rPr>
        <w:rFonts w:hint="default"/>
      </w:rPr>
    </w:lvl>
    <w:lvl w:ilvl="7" w:tplc="611848BE">
      <w:start w:val="1"/>
      <w:numFmt w:val="bullet"/>
      <w:lvlText w:val="•"/>
      <w:lvlJc w:val="left"/>
      <w:pPr>
        <w:ind w:left="3891" w:hanging="143"/>
      </w:pPr>
      <w:rPr>
        <w:rFonts w:hint="default"/>
      </w:rPr>
    </w:lvl>
    <w:lvl w:ilvl="8" w:tplc="2BE0A188">
      <w:start w:val="1"/>
      <w:numFmt w:val="bullet"/>
      <w:lvlText w:val="•"/>
      <w:lvlJc w:val="left"/>
      <w:pPr>
        <w:ind w:left="4319" w:hanging="143"/>
      </w:pPr>
      <w:rPr>
        <w:rFonts w:hint="default"/>
      </w:rPr>
    </w:lvl>
  </w:abstractNum>
  <w:abstractNum w:abstractNumId="1" w15:restartNumberingAfterBreak="0">
    <w:nsid w:val="6AB44794"/>
    <w:multiLevelType w:val="hybridMultilevel"/>
    <w:tmpl w:val="6D0867C6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43725237">
    <w:abstractNumId w:val="1"/>
  </w:num>
  <w:num w:numId="2" w16cid:durableId="84764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15326"/>
    <w:rsid w:val="00017519"/>
    <w:rsid w:val="000A4BBF"/>
    <w:rsid w:val="000C5CA3"/>
    <w:rsid w:val="0016314F"/>
    <w:rsid w:val="002802F9"/>
    <w:rsid w:val="002A2CCC"/>
    <w:rsid w:val="003000E3"/>
    <w:rsid w:val="003A11C4"/>
    <w:rsid w:val="003A7530"/>
    <w:rsid w:val="003D4B27"/>
    <w:rsid w:val="003E363A"/>
    <w:rsid w:val="00415AE7"/>
    <w:rsid w:val="00460BEC"/>
    <w:rsid w:val="004E16FE"/>
    <w:rsid w:val="00527968"/>
    <w:rsid w:val="005D2635"/>
    <w:rsid w:val="0064245B"/>
    <w:rsid w:val="006619E9"/>
    <w:rsid w:val="006D3420"/>
    <w:rsid w:val="00703809"/>
    <w:rsid w:val="007A2CCC"/>
    <w:rsid w:val="007E0C02"/>
    <w:rsid w:val="00877956"/>
    <w:rsid w:val="00880E39"/>
    <w:rsid w:val="008C4988"/>
    <w:rsid w:val="008E48F2"/>
    <w:rsid w:val="00923CA8"/>
    <w:rsid w:val="00963ABD"/>
    <w:rsid w:val="009F3122"/>
    <w:rsid w:val="00A17943"/>
    <w:rsid w:val="00AA1AE6"/>
    <w:rsid w:val="00B714DD"/>
    <w:rsid w:val="00B92265"/>
    <w:rsid w:val="00BC4A3F"/>
    <w:rsid w:val="00BE7B29"/>
    <w:rsid w:val="00C94E80"/>
    <w:rsid w:val="00CF05D7"/>
    <w:rsid w:val="00CF1165"/>
    <w:rsid w:val="00DB439B"/>
    <w:rsid w:val="00DE41BB"/>
    <w:rsid w:val="00E263B6"/>
    <w:rsid w:val="00E91732"/>
    <w:rsid w:val="00EE59D0"/>
    <w:rsid w:val="00F15128"/>
    <w:rsid w:val="00F25D93"/>
    <w:rsid w:val="00F36376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D125FC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CA3"/>
    <w:rPr>
      <w:i/>
      <w:iCs/>
    </w:rPr>
  </w:style>
  <w:style w:type="table" w:styleId="Grilledutableau">
    <w:name w:val="Table Grid"/>
    <w:basedOn w:val="TableauNormal"/>
    <w:uiPriority w:val="59"/>
    <w:rsid w:val="00460BEC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A3F"/>
    <w:rPr>
      <w:rFonts w:ascii="Segoe UI" w:eastAsiaTheme="minorEastAsia" w:hAnsi="Segoe UI" w:cs="Segoe UI"/>
      <w:sz w:val="18"/>
      <w:szCs w:val="18"/>
    </w:rPr>
  </w:style>
  <w:style w:type="paragraph" w:styleId="Sansinterligne">
    <w:name w:val="No Spacing"/>
    <w:uiPriority w:val="1"/>
    <w:qFormat/>
    <w:rsid w:val="0064245B"/>
    <w:pPr>
      <w:spacing w:afterLines="0" w:after="0" w:line="240" w:lineRule="auto"/>
    </w:pPr>
    <w:rPr>
      <w:rFonts w:eastAsiaTheme="minorEastAsia"/>
    </w:rPr>
  </w:style>
  <w:style w:type="table" w:customStyle="1" w:styleId="Grilledutableau14">
    <w:name w:val="Grille du tableau14"/>
    <w:basedOn w:val="TableauNormal"/>
    <w:next w:val="Grilledutableau"/>
    <w:uiPriority w:val="59"/>
    <w:rsid w:val="000A4BBF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923CA8"/>
    <w:pPr>
      <w:spacing w:afterLines="0" w:after="0" w:line="240" w:lineRule="auto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29</cp:revision>
  <dcterms:created xsi:type="dcterms:W3CDTF">2019-06-04T14:17:00Z</dcterms:created>
  <dcterms:modified xsi:type="dcterms:W3CDTF">2025-05-30T15:27:00Z</dcterms:modified>
</cp:coreProperties>
</file>